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4EA" w:rsidRDefault="00AF44EA" w:rsidP="00AF44EA">
      <w:pPr>
        <w:spacing w:after="120" w:line="360" w:lineRule="auto"/>
        <w:ind w:left="567" w:right="2262"/>
        <w:rPr>
          <w:rFonts w:ascii="Arial" w:hAnsi="Arial" w:cs="Arial"/>
          <w:b/>
          <w:sz w:val="28"/>
          <w:szCs w:val="28"/>
        </w:rPr>
      </w:pPr>
      <w:r>
        <w:rPr>
          <w:rFonts w:ascii="Arial" w:hAnsi="Arial"/>
          <w:b/>
          <w:sz w:val="28"/>
        </w:rPr>
        <w:t xml:space="preserve">Toujours prêt à intervenir avec </w:t>
      </w:r>
      <w:proofErr w:type="spellStart"/>
      <w:r>
        <w:rPr>
          <w:rFonts w:ascii="Arial" w:hAnsi="Arial"/>
          <w:b/>
          <w:sz w:val="28"/>
        </w:rPr>
        <w:t>AidPack</w:t>
      </w:r>
      <w:proofErr w:type="spellEnd"/>
      <w:r>
        <w:rPr>
          <w:rFonts w:ascii="Arial" w:hAnsi="Arial"/>
          <w:b/>
          <w:sz w:val="28"/>
        </w:rPr>
        <w:t xml:space="preserve"> AMAZONE </w:t>
      </w:r>
    </w:p>
    <w:p w:rsidR="00D80ADF" w:rsidRPr="00AF44EA" w:rsidRDefault="00F348D5" w:rsidP="00AF44EA">
      <w:pPr>
        <w:spacing w:after="120" w:line="360" w:lineRule="auto"/>
        <w:ind w:left="567" w:right="2262"/>
        <w:rPr>
          <w:rFonts w:ascii="Arial" w:hAnsi="Arial" w:cs="Arial"/>
          <w:b/>
          <w:bCs/>
        </w:rPr>
      </w:pPr>
      <w:r>
        <w:rPr>
          <w:rFonts w:ascii="Arial" w:hAnsi="Arial"/>
          <w:b/>
        </w:rPr>
        <w:t xml:space="preserve">Pièces d’usure et pièces détachées d'origine rangées bien compactes dans une mallette  </w:t>
      </w:r>
    </w:p>
    <w:p w:rsidR="00BC738F" w:rsidRPr="00AF44EA" w:rsidRDefault="00BC738F">
      <w:pPr>
        <w:spacing w:after="120" w:line="360" w:lineRule="auto"/>
        <w:ind w:left="567" w:right="2262"/>
        <w:rPr>
          <w:rFonts w:ascii="Arial" w:hAnsi="Arial" w:cs="Arial"/>
          <w:bCs/>
        </w:rPr>
      </w:pPr>
    </w:p>
    <w:p w:rsidR="009A7604" w:rsidRDefault="00AF44EA" w:rsidP="00D80ADF">
      <w:pPr>
        <w:spacing w:after="120" w:line="360" w:lineRule="auto"/>
        <w:ind w:left="567" w:right="2262"/>
        <w:rPr>
          <w:rFonts w:ascii="Arial" w:hAnsi="Arial" w:cs="Arial"/>
          <w:bCs/>
        </w:rPr>
      </w:pPr>
      <w:r>
        <w:rPr>
          <w:rFonts w:ascii="Arial" w:hAnsi="Arial"/>
        </w:rPr>
        <w:t xml:space="preserve">Avec les nouveaux </w:t>
      </w:r>
      <w:proofErr w:type="spellStart"/>
      <w:r>
        <w:rPr>
          <w:rFonts w:ascii="Arial" w:hAnsi="Arial"/>
        </w:rPr>
        <w:t>AidPacks</w:t>
      </w:r>
      <w:proofErr w:type="spellEnd"/>
      <w:r>
        <w:rPr>
          <w:rFonts w:ascii="Arial" w:hAnsi="Arial"/>
        </w:rPr>
        <w:t>, AMAZONE propose désormais les pièces d’usure et pièces détachées d’origine les plus importantes pour les pulvérisateurs AMAZONE. Elles sont bien rangées dans des mallettes pratiques. Ces kits de pièces sont disponibles en trois variantes suivant l’équipement rampe du pulvérisateur.</w:t>
      </w:r>
    </w:p>
    <w:p w:rsidR="002249AE" w:rsidRPr="00D80ADF" w:rsidRDefault="002249AE" w:rsidP="002249AE">
      <w:pPr>
        <w:spacing w:after="120" w:line="360" w:lineRule="auto"/>
        <w:ind w:left="567" w:right="2262"/>
        <w:rPr>
          <w:rFonts w:ascii="Arial" w:hAnsi="Arial" w:cs="Arial"/>
          <w:bCs/>
        </w:rPr>
      </w:pPr>
      <w:r>
        <w:rPr>
          <w:rFonts w:ascii="Arial" w:hAnsi="Arial"/>
        </w:rPr>
        <w:t xml:space="preserve">Pour les pulvérisateurs AMAZONE avec le bloc de commande de tronçonnement électrique télécommandée TG, le </w:t>
      </w:r>
      <w:proofErr w:type="spellStart"/>
      <w:r>
        <w:rPr>
          <w:rFonts w:ascii="Arial" w:hAnsi="Arial"/>
        </w:rPr>
        <w:t>trijet</w:t>
      </w:r>
      <w:proofErr w:type="spellEnd"/>
      <w:r>
        <w:rPr>
          <w:rFonts w:ascii="Arial" w:hAnsi="Arial"/>
        </w:rPr>
        <w:t xml:space="preserve"> </w:t>
      </w:r>
      <w:proofErr w:type="spellStart"/>
      <w:r>
        <w:rPr>
          <w:rFonts w:ascii="Arial" w:hAnsi="Arial"/>
        </w:rPr>
        <w:t>AmaSwitch</w:t>
      </w:r>
      <w:proofErr w:type="spellEnd"/>
      <w:r>
        <w:rPr>
          <w:rFonts w:ascii="Arial" w:hAnsi="Arial"/>
        </w:rPr>
        <w:t xml:space="preserve"> à coupure buse à buse et le </w:t>
      </w:r>
      <w:proofErr w:type="spellStart"/>
      <w:r>
        <w:rPr>
          <w:rFonts w:ascii="Arial" w:hAnsi="Arial"/>
        </w:rPr>
        <w:t>quadrijet</w:t>
      </w:r>
      <w:proofErr w:type="spellEnd"/>
      <w:r>
        <w:rPr>
          <w:rFonts w:ascii="Arial" w:hAnsi="Arial"/>
        </w:rPr>
        <w:t xml:space="preserve"> </w:t>
      </w:r>
      <w:proofErr w:type="spellStart"/>
      <w:r>
        <w:rPr>
          <w:rFonts w:ascii="Arial" w:hAnsi="Arial"/>
        </w:rPr>
        <w:t>AmaSelect</w:t>
      </w:r>
      <w:proofErr w:type="spellEnd"/>
      <w:r>
        <w:rPr>
          <w:rFonts w:ascii="Arial" w:hAnsi="Arial"/>
        </w:rPr>
        <w:t xml:space="preserve"> à coupure buse à buse, les kits correspondants comprennent les pièces adéquates, telles que les porte-jets, les membranes et les joints toriques. Toutes les pièces sont protégées des dommages et des saletés dans leurs robustes mallettes en plastique.</w:t>
      </w:r>
    </w:p>
    <w:p w:rsidR="00D80ADF" w:rsidRPr="00D80ADF" w:rsidRDefault="00066EE3" w:rsidP="00D80ADF">
      <w:pPr>
        <w:spacing w:after="120" w:line="360" w:lineRule="auto"/>
        <w:ind w:left="567" w:right="2262"/>
        <w:rPr>
          <w:rFonts w:ascii="Arial" w:hAnsi="Arial" w:cs="Arial"/>
          <w:bCs/>
        </w:rPr>
      </w:pPr>
      <w:r>
        <w:rPr>
          <w:rFonts w:ascii="Arial" w:hAnsi="Arial"/>
        </w:rPr>
        <w:t>Avec l’</w:t>
      </w:r>
      <w:proofErr w:type="spellStart"/>
      <w:r>
        <w:rPr>
          <w:rFonts w:ascii="Arial" w:hAnsi="Arial"/>
        </w:rPr>
        <w:t>AidPack</w:t>
      </w:r>
      <w:proofErr w:type="spellEnd"/>
      <w:r>
        <w:rPr>
          <w:rFonts w:ascii="Arial" w:hAnsi="Arial"/>
        </w:rPr>
        <w:t xml:space="preserve">, l’utilisateur dispose ainsi des pièces nécessaires. Peu importe le lieu et le moment d’intervention ou les délais de livraison, une pièce peut être remplacée rapidement sur l’exploitation ou directement dans le champ. Le travail est facilité et la sécurité d’utilisation renforcée au niveau des mesures de protection phytosanitaire. </w:t>
      </w:r>
    </w:p>
    <w:p w:rsidR="001A1D39" w:rsidRPr="008617A1" w:rsidRDefault="001A1D39" w:rsidP="001A1D39">
      <w:pPr>
        <w:spacing w:after="120" w:line="360" w:lineRule="auto"/>
        <w:ind w:left="567" w:right="2262"/>
        <w:rPr>
          <w:rFonts w:ascii="Arial" w:hAnsi="Arial" w:cs="Arial"/>
          <w:bCs/>
        </w:rPr>
      </w:pPr>
      <w:r>
        <w:rPr>
          <w:rFonts w:ascii="Arial" w:hAnsi="Arial"/>
        </w:rPr>
        <w:t xml:space="preserve">Les mallettes </w:t>
      </w:r>
      <w:proofErr w:type="spellStart"/>
      <w:r>
        <w:rPr>
          <w:rFonts w:ascii="Arial" w:hAnsi="Arial"/>
        </w:rPr>
        <w:t>AidPacks</w:t>
      </w:r>
      <w:proofErr w:type="spellEnd"/>
      <w:r>
        <w:rPr>
          <w:rFonts w:ascii="Arial" w:hAnsi="Arial"/>
        </w:rPr>
        <w:t xml:space="preserve"> peuvent être commandées confortablement en même temps que le pulvérisateur neuf AMAZONE, mais elles sont aussi disponibles dans le commerce. </w:t>
      </w:r>
    </w:p>
    <w:p w:rsidR="00D80ADF" w:rsidRPr="00D80ADF" w:rsidRDefault="00D80ADF" w:rsidP="00D80ADF">
      <w:pPr>
        <w:spacing w:after="120" w:line="360" w:lineRule="auto"/>
        <w:ind w:left="567" w:right="2262"/>
        <w:rPr>
          <w:rFonts w:ascii="Arial" w:hAnsi="Arial" w:cs="Arial"/>
          <w:bCs/>
        </w:rPr>
      </w:pPr>
      <w:r>
        <w:rPr>
          <w:rFonts w:ascii="Arial" w:hAnsi="Arial"/>
        </w:rPr>
        <w:t xml:space="preserve"> </w:t>
      </w:r>
    </w:p>
    <w:p w:rsidR="00F056C7" w:rsidRDefault="00F056C7">
      <w:pPr>
        <w:rPr>
          <w:rFonts w:ascii="Arial" w:hAnsi="Arial" w:cs="Arial"/>
          <w:bCs/>
        </w:rPr>
      </w:pPr>
      <w:r>
        <w:br w:type="page"/>
      </w:r>
    </w:p>
    <w:p w:rsidR="006B2DEF" w:rsidRDefault="00F056C7">
      <w:pPr>
        <w:spacing w:after="120" w:line="360" w:lineRule="auto"/>
        <w:ind w:left="567" w:right="2262"/>
        <w:rPr>
          <w:rFonts w:ascii="Arial" w:hAnsi="Arial" w:cs="Arial"/>
          <w:bCs/>
        </w:rPr>
      </w:pPr>
      <w:r>
        <w:rPr>
          <w:rFonts w:ascii="Arial" w:hAnsi="Arial"/>
          <w:noProof/>
          <w:lang w:val="de-DE"/>
        </w:rPr>
        <w:lastRenderedPageBreak/>
        <w:drawing>
          <wp:inline distT="0" distB="0" distL="0" distR="0">
            <wp:extent cx="2874010" cy="3723005"/>
            <wp:effectExtent l="0" t="0" r="2540" b="0"/>
            <wp:docPr id="18" name="Grafik 18" descr="C:\Users\nberel\AppData\Local\Microsoft\Windows\INetCache\Content.Word\AidPack-Koffer_TG_d0_kw_P6074143_d1_220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C:\Users\nberel\AppData\Local\Microsoft\Windows\INetCache\Content.Word\AidPack-Koffer_TG_d0_kw_P6074143_d1_220215.jpg"/>
                    <pic:cNvPicPr>
                      <a:picLocks noChangeAspect="1" noChangeArrowheads="1"/>
                    </pic:cNvPicPr>
                  </pic:nvPicPr>
                  <pic:blipFill>
                    <a:blip r:embed="rId6" cstate="print">
                      <a:extLst>
                        <a:ext uri="{28A0092B-C50C-407E-A947-70E740481C1C}">
                          <a14:useLocalDpi xmlns:a14="http://schemas.microsoft.com/office/drawing/2010/main" val="0"/>
                        </a:ext>
                      </a:extLst>
                    </a:blip>
                    <a:srcRect l="18134" r="31322" b="13307"/>
                    <a:stretch>
                      <a:fillRect/>
                    </a:stretch>
                  </pic:blipFill>
                  <pic:spPr bwMode="auto">
                    <a:xfrm>
                      <a:off x="0" y="0"/>
                      <a:ext cx="2874010" cy="3723005"/>
                    </a:xfrm>
                    <a:prstGeom prst="rect">
                      <a:avLst/>
                    </a:prstGeom>
                    <a:noFill/>
                    <a:ln>
                      <a:noFill/>
                    </a:ln>
                  </pic:spPr>
                </pic:pic>
              </a:graphicData>
            </a:graphic>
          </wp:inline>
        </w:drawing>
      </w:r>
    </w:p>
    <w:p w:rsidR="006B2DEF" w:rsidRDefault="00480D90">
      <w:pPr>
        <w:spacing w:after="120" w:line="360" w:lineRule="auto"/>
        <w:ind w:left="567" w:right="2262"/>
        <w:rPr>
          <w:rFonts w:ascii="Arial" w:hAnsi="Arial" w:cs="Arial"/>
          <w:bCs/>
        </w:rPr>
      </w:pPr>
      <w:proofErr w:type="spellStart"/>
      <w:r>
        <w:rPr>
          <w:rFonts w:ascii="Arial" w:hAnsi="Arial"/>
        </w:rPr>
        <w:t>AidPack</w:t>
      </w:r>
      <w:proofErr w:type="spellEnd"/>
      <w:r>
        <w:rPr>
          <w:rFonts w:ascii="Arial" w:hAnsi="Arial"/>
        </w:rPr>
        <w:t xml:space="preserve"> AMAZONE pour le bloc de commande de tronçonnement à télécommande électrique TG </w:t>
      </w:r>
    </w:p>
    <w:p w:rsidR="006B2DEF" w:rsidRDefault="00F056C7">
      <w:pPr>
        <w:spacing w:after="120" w:line="360" w:lineRule="auto"/>
        <w:ind w:left="567" w:right="2262"/>
        <w:rPr>
          <w:rFonts w:ascii="Arial" w:hAnsi="Arial" w:cs="Arial"/>
          <w:bCs/>
        </w:rPr>
      </w:pPr>
      <w:r>
        <w:rPr>
          <w:rFonts w:ascii="Arial" w:hAnsi="Arial"/>
          <w:noProof/>
          <w:lang w:val="de-DE"/>
        </w:rPr>
        <w:drawing>
          <wp:inline distT="0" distB="0" distL="0" distR="0">
            <wp:extent cx="3056890" cy="3056890"/>
            <wp:effectExtent l="0" t="0" r="0" b="0"/>
            <wp:docPr id="19" name="Grafik 19" descr="C:\Users\nberel\AppData\Local\Microsoft\Windows\INetCache\Content.Word\AidPack-Koffer_AmaSwitch_d0_kw_P6074148_d1_220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C:\Users\nberel\AppData\Local\Microsoft\Windows\INetCache\Content.Word\AidPack-Koffer_AmaSwitch_d0_kw_P6074148_d1_220215.jpg"/>
                    <pic:cNvPicPr>
                      <a:picLocks noChangeAspect="1" noChangeArrowheads="1"/>
                    </pic:cNvPicPr>
                  </pic:nvPicPr>
                  <pic:blipFill>
                    <a:blip r:embed="rId7" cstate="print">
                      <a:extLst>
                        <a:ext uri="{28A0092B-C50C-407E-A947-70E740481C1C}">
                          <a14:useLocalDpi xmlns:a14="http://schemas.microsoft.com/office/drawing/2010/main" val="0"/>
                        </a:ext>
                      </a:extLst>
                    </a:blip>
                    <a:srcRect t="11790" b="13087"/>
                    <a:stretch>
                      <a:fillRect/>
                    </a:stretch>
                  </pic:blipFill>
                  <pic:spPr bwMode="auto">
                    <a:xfrm>
                      <a:off x="0" y="0"/>
                      <a:ext cx="3056890" cy="3056890"/>
                    </a:xfrm>
                    <a:prstGeom prst="rect">
                      <a:avLst/>
                    </a:prstGeom>
                    <a:noFill/>
                    <a:ln>
                      <a:noFill/>
                    </a:ln>
                  </pic:spPr>
                </pic:pic>
              </a:graphicData>
            </a:graphic>
          </wp:inline>
        </w:drawing>
      </w:r>
    </w:p>
    <w:p w:rsidR="006B2DEF" w:rsidRDefault="00480D90">
      <w:pPr>
        <w:spacing w:after="120" w:line="360" w:lineRule="auto"/>
        <w:ind w:left="567" w:right="2262"/>
        <w:rPr>
          <w:rFonts w:ascii="Arial" w:hAnsi="Arial" w:cs="Arial"/>
          <w:bCs/>
        </w:rPr>
      </w:pPr>
      <w:proofErr w:type="spellStart"/>
      <w:r>
        <w:rPr>
          <w:rFonts w:ascii="Arial" w:hAnsi="Arial"/>
        </w:rPr>
        <w:t>AidPack</w:t>
      </w:r>
      <w:proofErr w:type="spellEnd"/>
      <w:r>
        <w:rPr>
          <w:rFonts w:ascii="Arial" w:hAnsi="Arial"/>
        </w:rPr>
        <w:t xml:space="preserve"> AMAZONE pour la coupure individuelle électrique des </w:t>
      </w:r>
      <w:proofErr w:type="spellStart"/>
      <w:r>
        <w:rPr>
          <w:rFonts w:ascii="Arial" w:hAnsi="Arial"/>
        </w:rPr>
        <w:t>trijets</w:t>
      </w:r>
      <w:proofErr w:type="spellEnd"/>
      <w:r>
        <w:rPr>
          <w:rFonts w:ascii="Arial" w:hAnsi="Arial"/>
        </w:rPr>
        <w:t xml:space="preserve"> </w:t>
      </w:r>
      <w:proofErr w:type="spellStart"/>
      <w:r>
        <w:rPr>
          <w:rFonts w:ascii="Arial" w:hAnsi="Arial"/>
        </w:rPr>
        <w:t>AmaSwitch</w:t>
      </w:r>
      <w:proofErr w:type="spellEnd"/>
      <w:r>
        <w:rPr>
          <w:rFonts w:ascii="Arial" w:hAnsi="Arial"/>
        </w:rPr>
        <w:t xml:space="preserve"> </w:t>
      </w:r>
    </w:p>
    <w:p w:rsidR="009D4309" w:rsidRDefault="00003E5F">
      <w:pPr>
        <w:spacing w:after="120" w:line="360" w:lineRule="auto"/>
        <w:ind w:left="567" w:right="2262"/>
        <w:rPr>
          <w:rFonts w:ascii="Arial" w:hAnsi="Arial" w:cs="Arial"/>
          <w:bCs/>
        </w:rPr>
      </w:pPr>
      <w:r>
        <w:rPr>
          <w:rFonts w:ascii="Arial" w:hAnsi="Arial"/>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1pt;height:236.1pt">
            <v:imagedata r:id="rId8" o:title="AidPack-Koffer_AmaSelect_d0_kw_P6074153_d1_220215" croptop="8904f" cropbottom="7401f"/>
          </v:shape>
        </w:pict>
      </w:r>
    </w:p>
    <w:p w:rsidR="009A44EA" w:rsidRDefault="00480D90">
      <w:pPr>
        <w:spacing w:after="120" w:line="360" w:lineRule="auto"/>
        <w:ind w:left="567" w:right="2262"/>
        <w:rPr>
          <w:rFonts w:ascii="Arial" w:hAnsi="Arial" w:cs="Arial"/>
          <w:bCs/>
        </w:rPr>
      </w:pPr>
      <w:r>
        <w:rPr>
          <w:rFonts w:ascii="Arial" w:hAnsi="Arial"/>
        </w:rPr>
        <w:t xml:space="preserve">AidPack AMAZONE pour la coupure électrique de buse à buse des quadrijets AmaSwitch </w:t>
      </w:r>
    </w:p>
    <w:p w:rsidR="004E0921" w:rsidRDefault="00003E5F">
      <w:pPr>
        <w:spacing w:after="120" w:line="360" w:lineRule="auto"/>
        <w:ind w:left="567" w:right="2262"/>
        <w:rPr>
          <w:rFonts w:ascii="Arial" w:hAnsi="Arial" w:cs="Arial"/>
          <w:bCs/>
        </w:rPr>
      </w:pPr>
      <w:bookmarkStart w:id="0" w:name="_GoBack"/>
      <w:bookmarkEnd w:id="0"/>
      <w:r>
        <w:rPr>
          <w:rFonts w:ascii="Arial" w:hAnsi="Arial" w:cs="Arial"/>
          <w:bCs/>
          <w:noProof/>
          <w:lang w:val="de-DE"/>
        </w:rPr>
        <w:drawing>
          <wp:inline distT="0" distB="0" distL="0" distR="0">
            <wp:extent cx="4603750" cy="3551555"/>
            <wp:effectExtent l="0" t="0" r="6350" b="0"/>
            <wp:docPr id="21" name="Grafik 21" descr="UX-Detail_Koffer-im-Fach_d0_kw_P5091656_d1_220511_a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X-Detail_Koffer-im-Fach_d0_kw_P5091656_d1_220511_a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03750" cy="3551555"/>
                    </a:xfrm>
                    <a:prstGeom prst="rect">
                      <a:avLst/>
                    </a:prstGeom>
                    <a:noFill/>
                    <a:ln>
                      <a:noFill/>
                    </a:ln>
                  </pic:spPr>
                </pic:pic>
              </a:graphicData>
            </a:graphic>
          </wp:inline>
        </w:drawing>
      </w:r>
    </w:p>
    <w:p w:rsidR="00017033" w:rsidRDefault="00CE6452" w:rsidP="0026607E">
      <w:pPr>
        <w:spacing w:after="120" w:line="360" w:lineRule="auto"/>
        <w:ind w:left="567" w:right="2262"/>
        <w:rPr>
          <w:rFonts w:ascii="Arial" w:hAnsi="Arial" w:cs="Arial"/>
          <w:bCs/>
        </w:rPr>
      </w:pPr>
      <w:r>
        <w:rPr>
          <w:rFonts w:ascii="Arial" w:hAnsi="Arial"/>
        </w:rPr>
        <w:t>Bien protégée et toujours à portée de mains, la mallette AidPack peut être rangée dans le compartiment de rangement du pulvérisateur AMAZONE.</w:t>
      </w:r>
      <w:r>
        <w:rPr>
          <w:rFonts w:ascii="Arial" w:hAnsi="Arial"/>
        </w:rPr>
        <w:br w:type="page"/>
      </w:r>
    </w:p>
    <w:p w:rsidR="009A44EA" w:rsidRDefault="00BC738F">
      <w:pPr>
        <w:spacing w:after="120" w:line="360" w:lineRule="auto"/>
        <w:ind w:left="567" w:right="2262"/>
        <w:rPr>
          <w:rFonts w:ascii="Arial" w:hAnsi="Arial" w:cs="Arial"/>
          <w:bCs/>
        </w:rPr>
      </w:pPr>
      <w:r>
        <w:rPr>
          <w:rFonts w:ascii="Arial" w:hAnsi="Arial"/>
          <w:b/>
          <w:color w:val="808080" w:themeColor="background1" w:themeShade="80"/>
          <w:sz w:val="20"/>
        </w:rPr>
        <w:lastRenderedPageBreak/>
        <w:t>A propos de la société AMAZONE</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Co.KG, dont le siège principal est en Allemagne à 49205 Hasbergen-Gaste, produisent des machines agricoles et des machines destinées à l’entretien des espaces verts. L’entreprise dirigée par ses propriétaires emploie 2 000 salariés sur neuf sites de production différents. Les outils de préparation du sol, les semoirs, les épandeurs d’engrais et les pulvérisateurs font partie de la gamme de production des machines agricoles. La technique de binage Schmotzer fait partie du groupe AMAZONE depuis 2019. Sur la base de ces compétences clés, AMAZONE est aujourd’hui le spécialiste pour une "agriculture durable". </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Plus d’informations : </w:t>
      </w:r>
      <w:hyperlink r:id="rId10" w:history="1">
        <w:r>
          <w:rPr>
            <w:rStyle w:val="Hyperlink"/>
            <w:rFonts w:ascii="Arial" w:hAnsi="Arial"/>
            <w:sz w:val="20"/>
          </w:rPr>
          <w:t>www.amazone.net</w:t>
        </w:r>
      </w:hyperlink>
      <w:r w:rsidR="00003E5F">
        <w:rPr>
          <w:rStyle w:val="Hyperlink"/>
          <w:rFonts w:ascii="Arial" w:hAnsi="Arial"/>
          <w:sz w:val="20"/>
        </w:rPr>
        <w:t>/fr</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noProof/>
          <w:lang w:val="de-DE"/>
        </w:rPr>
        <w:drawing>
          <wp:inline distT="0" distB="0" distL="0" distR="0">
            <wp:extent cx="241300" cy="241300"/>
            <wp:effectExtent l="0" t="0" r="0" b="0"/>
            <wp:docPr id="1" name="Grafik 13" descr="cid:FB_70d43fd1-a841-4de4-bbaa-3e1f495f95d3.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3" descr="cid:FB_70d43fd1-a841-4de4-bbaa-3e1f495f95d3.jpg">
                      <a:hlinkClick r:id="rId11"/>
                    </pic:cNvPr>
                    <pic:cNvPicPr>
                      <a:picLocks noChangeAspect="1" noChangeArrowheads="1"/>
                    </pic:cNvPicPr>
                  </pic:nvPicPr>
                  <pic:blipFill>
                    <a:blip r:embed="rId12"/>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2" name="Grafik 12" descr="cid:IG_efb650a7-31e4-4674-98db-f2d2d5c58dc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2" descr="cid:IG_efb650a7-31e4-4674-98db-f2d2d5c58dce.jpg">
                      <a:hlinkClick r:id="rId13"/>
                    </pic:cNvPr>
                    <pic:cNvPicPr>
                      <a:picLocks noChangeAspect="1" noChangeArrowheads="1"/>
                    </pic:cNvPicPr>
                  </pic:nvPicPr>
                  <pic:blipFill>
                    <a:blip r:embed="rId14"/>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3" name="Grafik 11" descr="cid:YT_e9180d16-5a2b-4618-92e9-22a015f9cafb.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 descr="cid:YT_e9180d16-5a2b-4618-92e9-22a015f9cafb.jpg">
                      <a:hlinkClick r:id="rId15"/>
                    </pic:cNvPr>
                    <pic:cNvPicPr>
                      <a:picLocks noChangeAspect="1" noChangeArrowheads="1"/>
                    </pic:cNvPicPr>
                  </pic:nvPicPr>
                  <pic:blipFill>
                    <a:blip r:embed="rId16"/>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4" name="Grafik 10" descr="cid:LinkedIn_80de4e9c-c7a3-41e3-8e11-063f7eace13d.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0" descr="cid:LinkedIn_80de4e9c-c7a3-41e3-8e11-063f7eace13d.jpg">
                      <a:hlinkClick r:id="rId17"/>
                    </pic:cNvPr>
                    <pic:cNvPicPr>
                      <a:picLocks noChangeAspect="1" noChangeArrowheads="1"/>
                    </pic:cNvPicPr>
                  </pic:nvPicPr>
                  <pic:blipFill>
                    <a:blip r:embed="rId18"/>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5" name="Grafik 7" descr="cid:Xing1_e3730686-2953-47a9-9c47-dbaa518a9207.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7" descr="cid:Xing1_e3730686-2953-47a9-9c47-dbaa518a9207.jpg">
                      <a:hlinkClick r:id="rId19"/>
                    </pic:cNvPr>
                    <pic:cNvPicPr>
                      <a:picLocks noChangeAspect="1" noChangeArrowheads="1"/>
                    </pic:cNvPicPr>
                  </pic:nvPicPr>
                  <pic:blipFill>
                    <a:blip r:embed="rId20"/>
                    <a:stretch>
                      <a:fillRect/>
                    </a:stretch>
                  </pic:blipFill>
                  <pic:spPr bwMode="auto">
                    <a:xfrm>
                      <a:off x="0" y="0"/>
                      <a:ext cx="241300" cy="241300"/>
                    </a:xfrm>
                    <a:prstGeom prst="rect">
                      <a:avLst/>
                    </a:prstGeom>
                  </pic:spPr>
                </pic:pic>
              </a:graphicData>
            </a:graphic>
          </wp:inline>
        </w:drawing>
      </w:r>
      <w:r>
        <w:t> </w:t>
      </w:r>
    </w:p>
    <w:sectPr w:rsidR="009A44EA" w:rsidSect="006406E6">
      <w:headerReference w:type="default" r:id="rId21"/>
      <w:footerReference w:type="default" r:id="rId22"/>
      <w:pgSz w:w="11906" w:h="16838"/>
      <w:pgMar w:top="2127" w:right="567" w:bottom="1843" w:left="567" w:header="1418" w:footer="1417"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B3C" w:rsidRDefault="00BC738F">
      <w:r>
        <w:separator/>
      </w:r>
    </w:p>
  </w:endnote>
  <w:endnote w:type="continuationSeparator" w:id="0">
    <w:p w:rsidR="00A94B3C" w:rsidRDefault="00BC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Fuzeile"/>
    </w:pPr>
    <w:r>
      <w:rPr>
        <w:noProof/>
        <w:lang w:val="de-DE"/>
      </w:rPr>
      <mc:AlternateContent>
        <mc:Choice Requires="wps">
          <w:drawing>
            <wp:anchor distT="0" distB="0" distL="0" distR="0" simplePos="0" relativeHeight="3" behindDoc="1" locked="0" layoutInCell="1" allowOverlap="1" wp14:anchorId="717DFBF2">
              <wp:simplePos x="0" y="0"/>
              <wp:positionH relativeFrom="column">
                <wp:posOffset>377190</wp:posOffset>
              </wp:positionH>
              <wp:positionV relativeFrom="paragraph">
                <wp:posOffset>-20955</wp:posOffset>
              </wp:positionV>
              <wp:extent cx="6483350" cy="434975"/>
              <wp:effectExtent l="0" t="0" r="635" b="0"/>
              <wp:wrapNone/>
              <wp:docPr id="12" name="Text Box 6"/>
              <wp:cNvGraphicFramePr/>
              <a:graphic xmlns:a="http://schemas.openxmlformats.org/drawingml/2006/main">
                <a:graphicData uri="http://schemas.microsoft.com/office/word/2010/wordprocessingShape">
                  <wps:wsp>
                    <wps:cNvSpPr/>
                    <wps:spPr>
                      <a:xfrm>
                        <a:off x="0" y="0"/>
                        <a:ext cx="6482880" cy="43452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line="280" w:lineRule="exact"/>
                            <w:rPr>
                              <w:rFonts w:ascii="Arial" w:hAnsi="Arial"/>
                              <w:spacing w:val="2"/>
                              <w:sz w:val="20"/>
                            </w:rPr>
                          </w:pPr>
                          <w:r>
                            <w:rPr>
                              <w:rFonts w:ascii="Arial" w:hAnsi="Arial"/>
                              <w:color w:val="000000"/>
                              <w:sz w:val="20"/>
                            </w:rPr>
                            <w:t xml:space="preserve">AMAZONEN-WERKE H. DREYER SE &amp; Co. KG ∙ Am </w:t>
                          </w:r>
                          <w:proofErr w:type="spellStart"/>
                          <w:r>
                            <w:rPr>
                              <w:rFonts w:ascii="Arial" w:hAnsi="Arial"/>
                              <w:color w:val="000000"/>
                              <w:sz w:val="20"/>
                            </w:rPr>
                            <w:t>Amazonenwerk</w:t>
                          </w:r>
                          <w:proofErr w:type="spellEnd"/>
                          <w:r>
                            <w:rPr>
                              <w:rFonts w:ascii="Arial" w:hAnsi="Arial"/>
                              <w:color w:val="000000"/>
                              <w:sz w:val="20"/>
                            </w:rPr>
                            <w:t xml:space="preserve"> 9–13 ∙ D-49205 </w:t>
                          </w:r>
                          <w:proofErr w:type="spellStart"/>
                          <w:r>
                            <w:rPr>
                              <w:rFonts w:ascii="Arial" w:hAnsi="Arial"/>
                              <w:color w:val="000000"/>
                              <w:sz w:val="20"/>
                            </w:rPr>
                            <w:t>Hasbergen-Gaste</w:t>
                          </w:r>
                          <w:proofErr w:type="spellEnd"/>
                        </w:p>
                        <w:p w:rsidR="009A44EA" w:rsidRDefault="00BC738F">
                          <w:pPr>
                            <w:pStyle w:val="Rahmeninhalt"/>
                            <w:spacing w:line="280" w:lineRule="exact"/>
                            <w:rPr>
                              <w:rFonts w:ascii="Arial" w:hAnsi="Arial"/>
                              <w:spacing w:val="2"/>
                              <w:sz w:val="20"/>
                            </w:rPr>
                          </w:pPr>
                          <w:r>
                            <w:rPr>
                              <w:rFonts w:ascii="Arial" w:hAnsi="Arial"/>
                              <w:color w:val="000000"/>
                              <w:sz w:val="20"/>
                            </w:rPr>
                            <w:t>Tél. : +49 (0)5405 501-0 ∙ ama</w:t>
                          </w:r>
                          <w:r w:rsidR="00003E5F">
                            <w:rPr>
                              <w:rFonts w:ascii="Arial" w:hAnsi="Arial"/>
                              <w:color w:val="000000"/>
                              <w:sz w:val="20"/>
                            </w:rPr>
                            <w:t>zone@amazone.de ∙ www.amazone.net/fr</w:t>
                          </w:r>
                        </w:p>
                      </w:txbxContent>
                    </wps:txbx>
                    <wps:bodyPr lIns="0" tIns="36360" rIns="0" bIns="0">
                      <a:noAutofit/>
                    </wps:bodyPr>
                  </wps:wsp>
                </a:graphicData>
              </a:graphic>
            </wp:anchor>
          </w:drawing>
        </mc:Choice>
        <mc:Fallback>
          <w:pict>
            <v:rect w14:anchorId="717DFBF2" id="Text Box 6" o:spid="_x0000_s1028" style="position:absolute;margin-left:29.7pt;margin-top:-1.65pt;width:510.5pt;height:34.25pt;z-index:-503316477;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" filled="f" stroked="f">
              <v:textbox inset="0,1.01mm,0,0">
                <w:txbxContent>
                  <w:p w:rsidR="009A44EA" w:rsidRDefault="00BC738F">
                    <w:pPr>
                      <w:pStyle w:val="Rahmeninhalt"/>
                      <w:spacing w:line="280" w:lineRule="exact"/>
                      <w:rPr>
                        <w:rFonts w:ascii="Arial" w:hAnsi="Arial"/>
                        <w:spacing w:val="2"/>
                        <w:sz w:val="20"/>
                      </w:rPr>
                    </w:pPr>
                    <w:r>
                      <w:rPr>
                        <w:rFonts w:ascii="Arial" w:hAnsi="Arial"/>
                        <w:color w:val="000000"/>
                        <w:sz w:val="20"/>
                      </w:rPr>
                      <w:t xml:space="preserve">AMAZONEN-WERKE H. DREYER SE &amp; Co. KG ∙ Am </w:t>
                    </w:r>
                    <w:proofErr w:type="spellStart"/>
                    <w:r>
                      <w:rPr>
                        <w:rFonts w:ascii="Arial" w:hAnsi="Arial"/>
                        <w:color w:val="000000"/>
                        <w:sz w:val="20"/>
                      </w:rPr>
                      <w:t>Amazonenwerk</w:t>
                    </w:r>
                    <w:proofErr w:type="spellEnd"/>
                    <w:r>
                      <w:rPr>
                        <w:rFonts w:ascii="Arial" w:hAnsi="Arial"/>
                        <w:color w:val="000000"/>
                        <w:sz w:val="20"/>
                      </w:rPr>
                      <w:t xml:space="preserve"> 9–13 ∙ D-49205 </w:t>
                    </w:r>
                    <w:proofErr w:type="spellStart"/>
                    <w:r>
                      <w:rPr>
                        <w:rFonts w:ascii="Arial" w:hAnsi="Arial"/>
                        <w:color w:val="000000"/>
                        <w:sz w:val="20"/>
                      </w:rPr>
                      <w:t>Hasbergen-Gaste</w:t>
                    </w:r>
                    <w:proofErr w:type="spellEnd"/>
                  </w:p>
                  <w:p w:rsidR="009A44EA" w:rsidRDefault="00BC738F">
                    <w:pPr>
                      <w:pStyle w:val="Rahmeninhalt"/>
                      <w:spacing w:line="280" w:lineRule="exact"/>
                      <w:rPr>
                        <w:rFonts w:ascii="Arial" w:hAnsi="Arial"/>
                        <w:spacing w:val="2"/>
                        <w:sz w:val="20"/>
                      </w:rPr>
                    </w:pPr>
                    <w:r>
                      <w:rPr>
                        <w:rFonts w:ascii="Arial" w:hAnsi="Arial"/>
                        <w:color w:val="000000"/>
                        <w:sz w:val="20"/>
                      </w:rPr>
                      <w:t>Tél. : +49 (0)5405 501-0 ∙ ama</w:t>
                    </w:r>
                    <w:r w:rsidR="00003E5F">
                      <w:rPr>
                        <w:rFonts w:ascii="Arial" w:hAnsi="Arial"/>
                        <w:color w:val="000000"/>
                        <w:sz w:val="20"/>
                      </w:rPr>
                      <w:t>zone@amazone.de ∙ www.amazone.net/fr</w:t>
                    </w:r>
                  </w:p>
                </w:txbxContent>
              </v:textbox>
            </v:rect>
          </w:pict>
        </mc:Fallback>
      </mc:AlternateContent>
    </w:r>
    <w:r>
      <w:rPr>
        <w:noProof/>
        <w:lang w:val="de-DE"/>
      </w:rPr>
      <mc:AlternateContent>
        <mc:Choice Requires="wps">
          <w:drawing>
            <wp:anchor distT="0" distB="0" distL="0" distR="0" simplePos="0" relativeHeight="5" behindDoc="1" locked="0" layoutInCell="1" allowOverlap="1" wp14:anchorId="7B14A6EE">
              <wp:simplePos x="0" y="0"/>
              <wp:positionH relativeFrom="column">
                <wp:posOffset>36195</wp:posOffset>
              </wp:positionH>
              <wp:positionV relativeFrom="paragraph">
                <wp:posOffset>-17780</wp:posOffset>
              </wp:positionV>
              <wp:extent cx="6843395" cy="1270"/>
              <wp:effectExtent l="17145" t="17145" r="10160" b="11430"/>
              <wp:wrapNone/>
              <wp:docPr id="14" name="Line 7"/>
              <wp:cNvGraphicFramePr/>
              <a:graphic xmlns:a="http://schemas.openxmlformats.org/drawingml/2006/main">
                <a:graphicData uri="http://schemas.microsoft.com/office/word/2010/wordprocessingShape">
                  <wps:wsp>
                    <wps:cNvCnPr/>
                    <wps:spPr>
                      <a:xfrm>
                        <a:off x="0" y="0"/>
                        <a:ext cx="684288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85pt,-1.4pt" to="541.6pt,-1.4pt" ID="Line 7" stroked="t" style="position:absolute" wp14:anchorId="7B14A6EE">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7" behindDoc="1" locked="0" layoutInCell="1" allowOverlap="1" wp14:anchorId="651065ED">
              <wp:simplePos x="0" y="0"/>
              <wp:positionH relativeFrom="column">
                <wp:posOffset>34290</wp:posOffset>
              </wp:positionH>
              <wp:positionV relativeFrom="paragraph">
                <wp:posOffset>436245</wp:posOffset>
              </wp:positionV>
              <wp:extent cx="6826885" cy="1270"/>
              <wp:effectExtent l="15240" t="17145" r="9525" b="11430"/>
              <wp:wrapNone/>
              <wp:docPr id="15" name="Line 8"/>
              <wp:cNvGraphicFramePr/>
              <a:graphic xmlns:a="http://schemas.openxmlformats.org/drawingml/2006/main">
                <a:graphicData uri="http://schemas.microsoft.com/office/word/2010/wordprocessingShape">
                  <wps:wsp>
                    <wps:cNvCnPr/>
                    <wps:spPr>
                      <a:xfrm>
                        <a:off x="0" y="0"/>
                        <a:ext cx="682632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7pt,34.35pt" to="540.15pt,34.35pt" ID="Line 8" stroked="t" style="position:absolute" wp14:anchorId="651065ED">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9" behindDoc="1" locked="0" layoutInCell="1" allowOverlap="1" wp14:anchorId="69EB742D">
              <wp:simplePos x="0" y="0"/>
              <wp:positionH relativeFrom="column">
                <wp:posOffset>5292090</wp:posOffset>
              </wp:positionH>
              <wp:positionV relativeFrom="paragraph">
                <wp:posOffset>471805</wp:posOffset>
              </wp:positionV>
              <wp:extent cx="1603375" cy="182880"/>
              <wp:effectExtent l="0" t="0" r="0" b="10795"/>
              <wp:wrapNone/>
              <wp:docPr id="16" name="Text Box 9"/>
              <wp:cNvGraphicFramePr/>
              <a:graphic xmlns:a="http://schemas.openxmlformats.org/drawingml/2006/main">
                <a:graphicData uri="http://schemas.microsoft.com/office/word/2010/wordprocessingShape">
                  <wps:wsp>
                    <wps:cNvSpPr/>
                    <wps:spPr>
                      <a:xfrm>
                        <a:off x="0" y="0"/>
                        <a:ext cx="1602720" cy="18216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ind w:right="57"/>
                            <w:jc w:val="right"/>
                            <w:rPr>
                              <w:rFonts w:ascii="Arial" w:hAnsi="Arial"/>
                              <w:sz w:val="20"/>
                            </w:rPr>
                          </w:pPr>
                          <w:r>
                            <w:rPr>
                              <w:rFonts w:ascii="Arial" w:hAnsi="Arial"/>
                              <w:color w:val="000000"/>
                              <w:sz w:val="20"/>
                            </w:rPr>
                            <w:t xml:space="preserve">Page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003E5F">
                            <w:rPr>
                              <w:rFonts w:ascii="Arial" w:hAnsi="Arial"/>
                              <w:noProof/>
                              <w:color w:val="000000"/>
                              <w:sz w:val="20"/>
                            </w:rPr>
                            <w:t>4</w:t>
                          </w:r>
                          <w:r>
                            <w:rPr>
                              <w:rFonts w:ascii="Arial" w:hAnsi="Arial"/>
                              <w:color w:val="000000"/>
                              <w:sz w:val="20"/>
                            </w:rPr>
                            <w:fldChar w:fldCharType="end"/>
                          </w:r>
                          <w:r>
                            <w:rPr>
                              <w:rFonts w:ascii="Arial" w:hAnsi="Arial"/>
                              <w:color w:val="000000"/>
                              <w:sz w:val="20"/>
                            </w:rPr>
                            <w:t xml:space="preserve"> /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003E5F">
                            <w:rPr>
                              <w:rFonts w:ascii="Arial" w:hAnsi="Arial"/>
                              <w:noProof/>
                              <w:color w:val="000000"/>
                              <w:sz w:val="20"/>
                            </w:rPr>
                            <w:t>4</w:t>
                          </w:r>
                          <w:r>
                            <w:rPr>
                              <w:rFonts w:ascii="Arial" w:hAnsi="Arial"/>
                              <w:color w:val="000000"/>
                              <w:sz w:val="20"/>
                            </w:rPr>
                            <w:fldChar w:fldCharType="end"/>
                          </w:r>
                        </w:p>
                      </w:txbxContent>
                    </wps:txbx>
                    <wps:bodyPr lIns="0" tIns="17640" rIns="0" bIns="0">
                      <a:noAutofit/>
                    </wps:bodyPr>
                  </wps:wsp>
                </a:graphicData>
              </a:graphic>
            </wp:anchor>
          </w:drawing>
        </mc:Choice>
        <mc:Fallback>
          <w:pict>
            <v:rect w14:anchorId="69EB742D" id="Text Box 9" o:spid="_x0000_s1029" style="position:absolute;margin-left:416.7pt;margin-top:37.15pt;width:126.25pt;height:14.4pt;z-index:-50331647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" filled="f" stroked="f">
              <v:textbox inset="0,.49mm,0,0">
                <w:txbxContent>
                  <w:p w:rsidR="009A44EA" w:rsidRDefault="00BC738F">
                    <w:pPr>
                      <w:pStyle w:val="Rahmeninhalt"/>
                      <w:ind w:right="57"/>
                      <w:jc w:val="right"/>
                      <w:rPr>
                        <w:rFonts w:ascii="Arial" w:hAnsi="Arial"/>
                        <w:sz w:val="20"/>
                      </w:rPr>
                    </w:pPr>
                    <w:r>
                      <w:rPr>
                        <w:rFonts w:ascii="Arial" w:hAnsi="Arial"/>
                        <w:color w:val="000000"/>
                        <w:sz w:val="20"/>
                      </w:rPr>
                      <w:t xml:space="preserve">Page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003E5F">
                      <w:rPr>
                        <w:rFonts w:ascii="Arial" w:hAnsi="Arial"/>
                        <w:noProof/>
                        <w:color w:val="000000"/>
                        <w:sz w:val="20"/>
                      </w:rPr>
                      <w:t>4</w:t>
                    </w:r>
                    <w:r>
                      <w:rPr>
                        <w:rFonts w:ascii="Arial" w:hAnsi="Arial"/>
                        <w:color w:val="000000"/>
                        <w:sz w:val="20"/>
                      </w:rPr>
                      <w:fldChar w:fldCharType="end"/>
                    </w:r>
                    <w:r>
                      <w:rPr>
                        <w:rFonts w:ascii="Arial" w:hAnsi="Arial"/>
                        <w:color w:val="000000"/>
                        <w:sz w:val="20"/>
                      </w:rPr>
                      <w:t xml:space="preserve"> /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003E5F">
                      <w:rPr>
                        <w:rFonts w:ascii="Arial" w:hAnsi="Arial"/>
                        <w:noProof/>
                        <w:color w:val="000000"/>
                        <w:sz w:val="20"/>
                      </w:rPr>
                      <w:t>4</w:t>
                    </w:r>
                    <w:r>
                      <w:rPr>
                        <w:rFonts w:ascii="Arial" w:hAnsi="Arial"/>
                        <w:color w:val="000000"/>
                        <w:sz w:val="20"/>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B3C" w:rsidRDefault="00BC738F">
      <w:r>
        <w:separator/>
      </w:r>
    </w:p>
  </w:footnote>
  <w:footnote w:type="continuationSeparator" w:id="0">
    <w:p w:rsidR="00A94B3C" w:rsidRDefault="00BC7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Kopfzeile"/>
    </w:pPr>
    <w:r>
      <w:rPr>
        <w:noProof/>
        <w:lang w:val="de-DE"/>
      </w:rPr>
      <mc:AlternateContent>
        <mc:Choice Requires="wps">
          <w:drawing>
            <wp:anchor distT="0" distB="0" distL="0" distR="0" simplePos="0" relativeHeight="16" behindDoc="1" locked="0" layoutInCell="1" allowOverlap="1" wp14:anchorId="7CC331C5">
              <wp:simplePos x="0" y="0"/>
              <wp:positionH relativeFrom="column">
                <wp:posOffset>5158105</wp:posOffset>
              </wp:positionH>
              <wp:positionV relativeFrom="paragraph">
                <wp:posOffset>-500380</wp:posOffset>
              </wp:positionV>
              <wp:extent cx="1623060" cy="291465"/>
              <wp:effectExtent l="0" t="4445" r="3810" b="2540"/>
              <wp:wrapNone/>
              <wp:docPr id="6" name="Text Box 12"/>
              <wp:cNvGraphicFramePr/>
              <a:graphic xmlns:a="http://schemas.openxmlformats.org/drawingml/2006/main">
                <a:graphicData uri="http://schemas.microsoft.com/office/word/2010/wordprocessingShape">
                  <wps:wsp>
                    <wps:cNvSpPr/>
                    <wps:spPr>
                      <a:xfrm>
                        <a:off x="0" y="0"/>
                        <a:ext cx="1622520" cy="29088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after="280"/>
                            <w:ind w:left="142"/>
                            <w:rPr>
                              <w:rFonts w:ascii="Arial" w:hAnsi="Arial"/>
                              <w:b/>
                              <w:color w:val="FFFFFF"/>
                              <w:sz w:val="26"/>
                            </w:rPr>
                          </w:pPr>
                          <w:r>
                            <w:rPr>
                              <w:rFonts w:ascii="Arial" w:hAnsi="Arial"/>
                              <w:b/>
                              <w:color w:val="FFFFFF"/>
                              <w:sz w:val="26"/>
                            </w:rPr>
                            <w:t>Communiqué de presse</w:t>
                          </w:r>
                        </w:p>
                      </w:txbxContent>
                    </wps:txbx>
                    <wps:bodyPr lIns="0" tIns="0" rIns="0" bIns="0">
                      <a:noAutofit/>
                    </wps:bodyPr>
                  </wps:wsp>
                </a:graphicData>
              </a:graphic>
            </wp:anchor>
          </w:drawing>
        </mc:Choice>
        <mc:Fallback>
          <w:pict>
            <v:rect w14:anchorId="7CC331C5" id="Text Box 12" o:spid="_x0000_s1026" style="position:absolute;margin-left:406.15pt;margin-top:-39.4pt;width:127.8pt;height:22.95pt;z-index:-5033164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" filled="f" stroked="f">
              <v:textbox inset="0,0,0,0">
                <w:txbxContent>
                  <w:p w:rsidR="009A44EA" w:rsidRDefault="00BC738F">
                    <w:pPr>
                      <w:pStyle w:val="Rahmeninhalt"/>
                      <w:spacing w:after="280"/>
                      <w:ind w:left="142"/>
                      <w:rPr>
                        <w:b/>
                        <w:color w:val="FFFFFF"/>
                        <w:sz w:val="26"/>
                        <w:rFonts w:ascii="Arial" w:hAnsi="Arial"/>
                      </w:rPr>
                    </w:pPr>
                    <w:r>
                      <w:rPr>
                        <w:b/>
                        <w:color w:val="FFFFFF"/>
                        <w:sz w:val="26"/>
                        <w:rFonts w:ascii="Arial" w:hAnsi="Arial"/>
                      </w:rPr>
                      <w:t xml:space="preserve">Communiqué de presse</w:t>
                    </w:r>
                  </w:p>
                </w:txbxContent>
              </v:textbox>
            </v:rect>
          </w:pict>
        </mc:Fallback>
      </mc:AlternateContent>
    </w:r>
    <w:r>
      <w:rPr>
        <w:noProof/>
        <w:lang w:val="de-DE"/>
      </w:rPr>
      <mc:AlternateContent>
        <mc:Choice Requires="wpg">
          <w:drawing>
            <wp:anchor distT="0" distB="0" distL="0" distR="0" simplePos="0" relativeHeight="18" behindDoc="1" locked="0" layoutInCell="1" allowOverlap="1" wp14:anchorId="422F34D7">
              <wp:simplePos x="0" y="0"/>
              <wp:positionH relativeFrom="column">
                <wp:posOffset>2249805</wp:posOffset>
              </wp:positionH>
              <wp:positionV relativeFrom="paragraph">
                <wp:posOffset>-692150</wp:posOffset>
              </wp:positionV>
              <wp:extent cx="4714240" cy="375285"/>
              <wp:effectExtent l="0" t="0" r="0" b="8890"/>
              <wp:wrapNone/>
              <wp:docPr id="8" name="Gruppieren 10"/>
              <wp:cNvGraphicFramePr/>
              <a:graphic xmlns:a="http://schemas.openxmlformats.org/drawingml/2006/main">
                <a:graphicData uri="http://schemas.microsoft.com/office/word/2010/wordprocessingGroup">
                  <wpg:wgp>
                    <wpg:cNvGrpSpPr/>
                    <wpg:grpSpPr>
                      <a:xfrm>
                        <a:off x="0" y="0"/>
                        <a:ext cx="4713480" cy="374760"/>
                        <a:chOff x="0" y="0"/>
                        <a:chExt cx="0" cy="0"/>
                      </a:xfrm>
                    </wpg:grpSpPr>
                    <wps:wsp>
                      <wps:cNvPr id="7" name="Rechteck 7"/>
                      <wps:cNvSpPr/>
                      <wps:spPr>
                        <a:xfrm rot="10800000">
                          <a:off x="4202280" y="0"/>
                          <a:ext cx="511200" cy="37476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s:wsp>
                      <wps:cNvPr id="9" name="Parallelogramm 9"/>
                      <wps:cNvSpPr/>
                      <wps:spPr>
                        <a:xfrm rot="10800000">
                          <a:off x="0" y="0"/>
                          <a:ext cx="4577760" cy="37476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g:wgp>
                </a:graphicData>
              </a:graphic>
            </wp:anchor>
          </w:drawing>
        </mc:Choice>
        <mc:Fallback>
          <w:pict>
            <v:group id="shape_0" alt="Gruppieren 10" style="position:absolute;margin-left:177.1pt;margin-top:-54.55pt;width:371.1pt;height:29.5pt" coordorigin="3542,-1091" coordsize="7422,590">
              <v:rect id="shape_0" fillcolor="#397c34" stroked="f" style="position:absolute;left:10161;top:-1090;width:804;height:589;rotation:180">
                <w10:wrap type="none"/>
                <v:fill o:detectmouseclick="t" type="solid" color2="#c683cb"/>
                <v:stroke color="#3465a4" weight="25560" joinstyle="round" endcap="flat"/>
              </v:rect>
              <v:shapetype id="shapetype_7" coordsize="21600,21600" o:spt="7" adj="5400" path="m,21600l@1,l21600,l@4,21600xe">
                <v:stroke joinstyle="miter"/>
                <v:formulas>
                  <v:f eqn="val 21600"/>
                  <v:f eqn="val #0"/>
                  <v:f eqn="prod 1 @1 2"/>
                  <v:f eqn="sum width 0 @2"/>
                  <v:f eqn="sum width 0 @1"/>
                  <v:f eqn="prod @4 1 2"/>
                  <v:f eqn="sum width 0 @5"/>
                  <v:f eqn="prod 10800 @1 @0"/>
                  <v:f eqn="prod 5 @1 @0"/>
                  <v:f eqn="sum 1 @8 0"/>
                  <v:f eqn="prod 1 @9 12"/>
                  <v:f eqn="prod 100000 @10 1"/>
                  <v:f eqn="sum width 0 @11"/>
                  <v:f eqn="sum height 0 @11"/>
                  <v:f eqn="prod height 10800 @1"/>
                  <v:f eqn="val @14"/>
                  <v:f eqn="sum height 0 @15"/>
                </v:formulas>
                <v:path gradientshapeok="t" o:connecttype="rect" textboxrect="@11,@11,@12,@13"/>
                <v:handles>
                  <v:h position="@1,0"/>
                </v:handles>
              </v:shapetype>
              <v:shape id="shape_0" fillcolor="#397c34" stroked="f" style="position:absolute;left:3543;top:-1090;width:7208;height:589;rotation:180" type="shapetype_7">
                <w10:wrap type="none"/>
                <v:fill o:detectmouseclick="t" type="solid" color2="#c683cb"/>
                <v:stroke color="#3465a4" weight="25560" joinstyle="round" endcap="flat"/>
              </v:shape>
            </v:group>
          </w:pict>
        </mc:Fallback>
      </mc:AlternateContent>
    </w:r>
    <w:r>
      <w:rPr>
        <w:noProof/>
        <w:lang w:val="de-DE"/>
      </w:rPr>
      <mc:AlternateContent>
        <mc:Choice Requires="wpg">
          <w:drawing>
            <wp:anchor distT="0" distB="0" distL="0" distR="0" simplePos="0" relativeHeight="20" behindDoc="1" locked="0" layoutInCell="1" allowOverlap="1" wp14:anchorId="4698A173">
              <wp:simplePos x="0" y="0"/>
              <wp:positionH relativeFrom="column">
                <wp:posOffset>-133350</wp:posOffset>
              </wp:positionH>
              <wp:positionV relativeFrom="paragraph">
                <wp:posOffset>-694055</wp:posOffset>
              </wp:positionV>
              <wp:extent cx="2825115" cy="506730"/>
              <wp:effectExtent l="0" t="0" r="0" b="0"/>
              <wp:wrapNone/>
              <wp:docPr id="9" name="Gruppieren 8"/>
              <wp:cNvGraphicFramePr/>
              <a:graphic xmlns:a="http://schemas.openxmlformats.org/drawingml/2006/main">
                <a:graphicData uri="http://schemas.microsoft.com/office/word/2010/wordprocessingGroup">
                  <wpg:wgp>
                    <wpg:cNvGrpSpPr/>
                    <wpg:grpSpPr>
                      <a:xfrm>
                        <a:off x="0" y="0"/>
                        <a:ext cx="2824560" cy="506160"/>
                        <a:chOff x="0" y="0"/>
                        <a:chExt cx="0" cy="0"/>
                      </a:xfrm>
                    </wpg:grpSpPr>
                    <wps:wsp>
                      <wps:cNvPr id="11" name="Freihandform 11"/>
                      <wps:cNvSpPr/>
                      <wps:spPr>
                        <a:xfrm>
                          <a:off x="0" y="0"/>
                          <a:ext cx="2824560" cy="506160"/>
                        </a:xfrm>
                        <a:custGeom>
                          <a:avLst/>
                          <a:gdLst/>
                          <a:ahLst/>
                          <a:cxnLst/>
                          <a:rect l="l" t="t" r="r" b="b"/>
                          <a:pathLst>
                            <a:path w="1620" h="290">
                              <a:moveTo>
                                <a:pt x="0" y="290"/>
                              </a:moveTo>
                              <a:lnTo>
                                <a:pt x="0" y="0"/>
                              </a:lnTo>
                              <a:lnTo>
                                <a:pt x="1620" y="0"/>
                              </a:lnTo>
                              <a:lnTo>
                                <a:pt x="1461" y="287"/>
                              </a:lnTo>
                              <a:lnTo>
                                <a:pt x="0" y="290"/>
                              </a:lnTo>
                              <a:close/>
                            </a:path>
                          </a:pathLst>
                        </a:custGeom>
                        <a:solidFill>
                          <a:srgbClr val="FF6900"/>
                        </a:solidFill>
                        <a:ln>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12" name="Grafik 22"/>
                        <pic:cNvPicPr/>
                      </pic:nvPicPr>
                      <pic:blipFill>
                        <a:blip r:embed="rId1"/>
                        <a:stretch/>
                      </pic:blipFill>
                      <pic:spPr>
                        <a:xfrm>
                          <a:off x="324360" y="122400"/>
                          <a:ext cx="1800720" cy="249480"/>
                        </a:xfrm>
                        <a:prstGeom prst="rect">
                          <a:avLst/>
                        </a:prstGeom>
                        <a:ln>
                          <a:noFill/>
                        </a:ln>
                      </pic:spPr>
                    </pic:pic>
                  </wpg:wgp>
                </a:graphicData>
              </a:graphic>
            </wp:anchor>
          </w:drawing>
        </mc:Choice>
        <mc:Fallback>
          <w:pict>
            <v:group id="shape_0" alt="Gruppieren 8" style="position:absolute;margin-left:-10.5pt;margin-top:-54.65pt;width:222.4pt;height:39.85pt" coordorigin="-210,-1093" coordsize="4448,797">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Grafik 22" stroked="f" style="position:absolute;left:301;top:-900;width:2835;height:392" type="shapetype_75">
                <v:imagedata r:id="rId2" o:detectmouseclick="t"/>
                <w10:wrap type="none"/>
                <v:stroke color="#3465a4" joinstyle="round" endcap="flat"/>
              </v:shape>
            </v:group>
          </w:pict>
        </mc:Fallback>
      </mc:AlternateContent>
    </w:r>
    <w:r>
      <w:rPr>
        <w:noProof/>
        <w:lang w:val="de-DE"/>
      </w:rPr>
      <mc:AlternateContent>
        <mc:Choice Requires="wps">
          <w:drawing>
            <wp:anchor distT="0" distB="0" distL="0" distR="0" simplePos="0" relativeHeight="22" behindDoc="1" locked="0" layoutInCell="1" allowOverlap="1" wp14:anchorId="23D93BA9">
              <wp:simplePos x="0" y="0"/>
              <wp:positionH relativeFrom="margin">
                <wp:align>right</wp:align>
              </wp:positionH>
              <wp:positionV relativeFrom="paragraph">
                <wp:posOffset>-682625</wp:posOffset>
              </wp:positionV>
              <wp:extent cx="3060065" cy="361950"/>
              <wp:effectExtent l="0" t="0" r="0" b="0"/>
              <wp:wrapNone/>
              <wp:docPr id="10" name="Rechteck 6"/>
              <wp:cNvGraphicFramePr/>
              <a:graphic xmlns:a="http://schemas.openxmlformats.org/drawingml/2006/main">
                <a:graphicData uri="http://schemas.microsoft.com/office/word/2010/wordprocessingShape">
                  <wps:wsp>
                    <wps:cNvSpPr/>
                    <wps:spPr>
                      <a:xfrm>
                        <a:off x="0" y="0"/>
                        <a:ext cx="3059280" cy="361440"/>
                      </a:xfrm>
                      <a:prstGeom prst="rect">
                        <a:avLst/>
                      </a:prstGeom>
                      <a:noFill/>
                      <a:ln>
                        <a:noFill/>
                      </a:ln>
                    </wps:spPr>
                    <wps:style>
                      <a:lnRef idx="2">
                        <a:schemeClr val="accent1">
                          <a:shade val="50000"/>
                        </a:schemeClr>
                      </a:lnRef>
                      <a:fillRef idx="1">
                        <a:schemeClr val="accent1"/>
                      </a:fillRef>
                      <a:effectRef idx="0">
                        <a:schemeClr val="accent1"/>
                      </a:effectRef>
                      <a:fontRef idx="minor"/>
                    </wps:style>
                    <wps:txb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Communiqué de presse </w:t>
                          </w:r>
                          <w:r w:rsidR="00003E5F">
                            <w:rPr>
                              <w:rFonts w:ascii="Arial" w:hAnsi="Arial"/>
                              <w:color w:val="FFFFFF" w:themeColor="background1"/>
                              <w:sz w:val="28"/>
                            </w:rPr>
                            <w:t>juin</w:t>
                          </w:r>
                          <w:r>
                            <w:rPr>
                              <w:rFonts w:ascii="Arial" w:hAnsi="Arial"/>
                              <w:color w:val="FFFFFF" w:themeColor="background1"/>
                              <w:sz w:val="28"/>
                            </w:rPr>
                            <w:t xml:space="preserve"> 2022</w:t>
                          </w:r>
                        </w:p>
                      </w:txbxContent>
                    </wps:txbx>
                    <wps:bodyPr anchor="ctr">
                      <a:noAutofit/>
                    </wps:bodyPr>
                  </wps:wsp>
                </a:graphicData>
              </a:graphic>
            </wp:anchor>
          </w:drawing>
        </mc:Choice>
        <mc:Fallback>
          <w:pict>
            <v:rect w14:anchorId="23D93BA9" id="Rechteck 6" o:spid="_x0000_s1027" style="position:absolute;margin-left:189.75pt;margin-top:-53.75pt;width:240.95pt;height:28.5pt;z-index:-503316458;visibility:visible;mso-wrap-style:square;mso-wrap-distance-left:0;mso-wrap-distance-top:0;mso-wrap-distance-right:0;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" filled="f" stroked="f" strokeweight="2pt">
              <v:textbo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Communiqué de presse </w:t>
                    </w:r>
                    <w:r w:rsidR="00003E5F">
                      <w:rPr>
                        <w:rFonts w:ascii="Arial" w:hAnsi="Arial"/>
                        <w:color w:val="FFFFFF" w:themeColor="background1"/>
                        <w:sz w:val="28"/>
                      </w:rPr>
                      <w:t>juin</w:t>
                    </w:r>
                    <w:r>
                      <w:rPr>
                        <w:rFonts w:ascii="Arial" w:hAnsi="Arial"/>
                        <w:color w:val="FFFFFF" w:themeColor="background1"/>
                        <w:sz w:val="28"/>
                      </w:rPr>
                      <w:t xml:space="preserve"> 2022</w:t>
                    </w:r>
                  </w:p>
                </w:txbxContent>
              </v:textbox>
              <w10:wrap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defaultTabStop w:val="708"/>
  <w:autoHyphenation/>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EA"/>
    <w:rsid w:val="00003E5F"/>
    <w:rsid w:val="00017033"/>
    <w:rsid w:val="00066EE3"/>
    <w:rsid w:val="00073785"/>
    <w:rsid w:val="00145948"/>
    <w:rsid w:val="001806E5"/>
    <w:rsid w:val="001A1D39"/>
    <w:rsid w:val="00202803"/>
    <w:rsid w:val="002249AE"/>
    <w:rsid w:val="00237DD2"/>
    <w:rsid w:val="0026607E"/>
    <w:rsid w:val="002A1A78"/>
    <w:rsid w:val="002A4418"/>
    <w:rsid w:val="00434F30"/>
    <w:rsid w:val="00480D90"/>
    <w:rsid w:val="004C5431"/>
    <w:rsid w:val="004D7845"/>
    <w:rsid w:val="004E0921"/>
    <w:rsid w:val="005479E7"/>
    <w:rsid w:val="00564E04"/>
    <w:rsid w:val="005C6E35"/>
    <w:rsid w:val="005C734B"/>
    <w:rsid w:val="00611443"/>
    <w:rsid w:val="006406E6"/>
    <w:rsid w:val="006414AC"/>
    <w:rsid w:val="006563BC"/>
    <w:rsid w:val="006B1180"/>
    <w:rsid w:val="006B2DEF"/>
    <w:rsid w:val="006D2295"/>
    <w:rsid w:val="007D0FF4"/>
    <w:rsid w:val="00826ACC"/>
    <w:rsid w:val="008B6CE6"/>
    <w:rsid w:val="00907675"/>
    <w:rsid w:val="00964D08"/>
    <w:rsid w:val="009917A3"/>
    <w:rsid w:val="009A44EA"/>
    <w:rsid w:val="009A7604"/>
    <w:rsid w:val="009D0BC1"/>
    <w:rsid w:val="009D4309"/>
    <w:rsid w:val="00A11B97"/>
    <w:rsid w:val="00A8055B"/>
    <w:rsid w:val="00A94B3C"/>
    <w:rsid w:val="00AF44EA"/>
    <w:rsid w:val="00B07026"/>
    <w:rsid w:val="00B73CBA"/>
    <w:rsid w:val="00BC738F"/>
    <w:rsid w:val="00BF7A24"/>
    <w:rsid w:val="00C12B17"/>
    <w:rsid w:val="00C22490"/>
    <w:rsid w:val="00C52D47"/>
    <w:rsid w:val="00CE6452"/>
    <w:rsid w:val="00D341EC"/>
    <w:rsid w:val="00D80ADF"/>
    <w:rsid w:val="00F056C7"/>
    <w:rsid w:val="00F11EB2"/>
    <w:rsid w:val="00F153BD"/>
    <w:rsid w:val="00F348D5"/>
    <w:rsid w:val="00F708A6"/>
    <w:rsid w:val="00FA3148"/>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842C0BF2-14C9-4457-B307-3933D6B11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fr-FR" w:eastAsia="de-DE"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semiHidden/>
    <w:qFormat/>
    <w:rsid w:val="005E2376"/>
    <w:rPr>
      <w:sz w:val="16"/>
      <w:szCs w:val="16"/>
    </w:rPr>
  </w:style>
  <w:style w:type="character" w:customStyle="1" w:styleId="A4">
    <w:name w:val="A4"/>
    <w:qFormat/>
    <w:rsid w:val="002F53E9"/>
    <w:rPr>
      <w:rFonts w:cs="Helvetica"/>
      <w:color w:val="000000"/>
    </w:rPr>
  </w:style>
  <w:style w:type="character" w:customStyle="1" w:styleId="Internetverknpfung">
    <w:name w:val="Internetverknüpfung"/>
    <w:uiPriority w:val="99"/>
    <w:unhideWhenUsed/>
    <w:rsid w:val="00047CDD"/>
    <w:rPr>
      <w:color w:val="0000FF"/>
      <w:u w:val="single"/>
    </w:rPr>
  </w:style>
  <w:style w:type="character" w:customStyle="1" w:styleId="BesuchteInternetverknpfung">
    <w:name w:val="Besuchte Internetverknüpfung"/>
    <w:uiPriority w:val="99"/>
    <w:semiHidden/>
    <w:unhideWhenUsed/>
    <w:rsid w:val="005D4A16"/>
    <w:rPr>
      <w:color w:val="800080"/>
      <w:u w:val="single"/>
    </w:rPr>
  </w:style>
  <w:style w:type="character" w:customStyle="1" w:styleId="Betont">
    <w:name w:val="Betont"/>
    <w:uiPriority w:val="20"/>
    <w:qFormat/>
    <w:rsid w:val="00706A1F"/>
    <w:rPr>
      <w:i/>
      <w:iCs/>
    </w:rPr>
  </w:style>
  <w:style w:type="character" w:customStyle="1" w:styleId="st">
    <w:name w:val="st"/>
    <w:qFormat/>
    <w:rsid w:val="00706A1F"/>
  </w:style>
  <w:style w:type="character" w:customStyle="1" w:styleId="NurTextZchn">
    <w:name w:val="Nur Text Zchn"/>
    <w:basedOn w:val="Absatz-Standardschriftart"/>
    <w:link w:val="NurText"/>
    <w:uiPriority w:val="99"/>
    <w:semiHidden/>
    <w:qFormat/>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semiHidden/>
    <w:qFormat/>
    <w:rsid w:val="00F0552B"/>
    <w:rPr>
      <w:rFonts w:ascii="Lucida Grande" w:hAnsi="Lucida Grande"/>
      <w:sz w:val="18"/>
      <w:szCs w:val="18"/>
    </w:rPr>
  </w:style>
  <w:style w:type="paragraph" w:customStyle="1" w:styleId="Kopf-undFuzeile">
    <w:name w:val="Kopf- und Fußzeile"/>
    <w:basedOn w:val="Standard"/>
    <w:qFormat/>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qFormat/>
    <w:rsid w:val="00583760"/>
    <w:pPr>
      <w:widowControl w:val="0"/>
      <w:spacing w:line="288" w:lineRule="auto"/>
      <w:textAlignment w:val="center"/>
    </w:pPr>
    <w:rPr>
      <w:rFonts w:ascii="Times-Roman" w:hAnsi="Times-Roman"/>
      <w:color w:val="000000"/>
      <w:sz w:val="24"/>
      <w:szCs w:val="24"/>
    </w:rPr>
  </w:style>
  <w:style w:type="paragraph" w:styleId="StandardWeb">
    <w:name w:val="Normal (Web)"/>
    <w:basedOn w:val="Standard"/>
    <w:uiPriority w:val="99"/>
    <w:qFormat/>
    <w:rsid w:val="00D909EB"/>
    <w:pPr>
      <w:spacing w:afterAutospacing="1"/>
    </w:pPr>
    <w:rPr>
      <w:rFonts w:ascii="Times New Roman" w:hAnsi="Times New Roman"/>
    </w:rPr>
  </w:style>
  <w:style w:type="paragraph" w:styleId="Kommentartext">
    <w:name w:val="annotation text"/>
    <w:basedOn w:val="Standard"/>
    <w:semiHidden/>
    <w:qFormat/>
    <w:rsid w:val="005E2376"/>
    <w:rPr>
      <w:sz w:val="20"/>
      <w:szCs w:val="20"/>
    </w:rPr>
  </w:style>
  <w:style w:type="paragraph" w:styleId="Kommentarthema">
    <w:name w:val="annotation subject"/>
    <w:basedOn w:val="Kommentartext"/>
    <w:next w:val="Kommentartext"/>
    <w:semiHidden/>
    <w:qFormat/>
    <w:rsid w:val="005E2376"/>
    <w:rPr>
      <w:b/>
      <w:bCs/>
    </w:rPr>
  </w:style>
  <w:style w:type="paragraph" w:styleId="NurText">
    <w:name w:val="Plain Text"/>
    <w:basedOn w:val="Standard"/>
    <w:link w:val="NurTextZchn"/>
    <w:uiPriority w:val="99"/>
    <w:semiHidden/>
    <w:unhideWhenUsed/>
    <w:qFormat/>
    <w:rsid w:val="00C24EF3"/>
    <w:rPr>
      <w:rFonts w:ascii="Calibri" w:eastAsiaTheme="minorHAnsi" w:hAnsi="Calibri"/>
      <w:sz w:val="22"/>
      <w:szCs w:val="22"/>
      <w:lang w:eastAsia="en-US"/>
    </w:rPr>
  </w:style>
  <w:style w:type="paragraph" w:customStyle="1" w:styleId="Rahmeninhalt">
    <w:name w:val="Rahmeninhalt"/>
    <w:basedOn w:val="Standard"/>
    <w:qFormat/>
  </w:style>
  <w:style w:type="table" w:customStyle="1" w:styleId="Tabellengitternetz">
    <w:name w:val="Tabellengitternetz"/>
    <w:basedOn w:val="NormaleTabelle"/>
    <w:rsid w:val="00831D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08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instagram.com/amazone_group" TargetMode="External"/><Relationship Id="rId18" Type="http://schemas.openxmlformats.org/officeDocument/2006/relationships/image" Target="media/image8.jpeg"/><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hyperlink" Target="https://www.linkedin.com/company/amazone-group/" TargetMode="External"/><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image" Target="media/image9.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www.facebook.com/amazone.group"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www.youtube.com/user/amazonede" TargetMode="External"/><Relationship Id="rId23" Type="http://schemas.openxmlformats.org/officeDocument/2006/relationships/fontTable" Target="fontTable.xml"/><Relationship Id="rId10" Type="http://schemas.openxmlformats.org/officeDocument/2006/relationships/hyperlink" Target="http://www.amazone.fr" TargetMode="External"/><Relationship Id="rId19" Type="http://schemas.openxmlformats.org/officeDocument/2006/relationships/hyperlink" Target="https://www.xing.com/company/amazone"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6.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350</Words>
  <Characters>2210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Company/>
  <LinksUpToDate>false</LinksUpToDate>
  <CharactersWithSpaces>2555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Amazone Bilan annuel 2008</dc:title>
  <dc:subject/>
  <dc:creator/>
  <dc:description/>
  <cp:lastModifiedBy>Berelsmann Nadine</cp:lastModifiedBy>
  <cp:revision>51</cp:revision>
  <cp:lastPrinted>2021-04-29T14:38:00Z</cp:lastPrinted>
  <dcterms:created xsi:type="dcterms:W3CDTF">2020-10-26T12:46:00Z</dcterms:created>
  <dcterms:modified xsi:type="dcterms:W3CDTF">2022-06-01T09:39:00Z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15 0000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NewReviewCycle">
    <vt:lpwstr/>
  </property>
</Properties>
</file>